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§13120-G. Acquisition, use and disposition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§13120-G. ACQUISITION, USE AND DISPOSITION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