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§13120-J. Interest of trustee or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§13120-J. INTEREST OF TRUSTEE OR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