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 investment of sinking funds</w:t>
      </w:r>
    </w:p>
    <w:p>
      <w:pPr>
        <w:jc w:val="both"/>
        <w:spacing w:before="100" w:after="100"/>
        <w:ind w:start="360"/>
        <w:ind w:firstLine="360"/>
      </w:pPr>
      <w:r>
        <w:rPr/>
      </w:r>
      <w:r>
        <w:rPr/>
      </w:r>
      <w:r>
        <w:t xml:space="preserve">The Treasurer of State, with the approval of the Governor and the Superintendent of Financial Institutions, shall from time to time as funds appropriated for any sinking fund established by law are received into the treasury, invest the same, with the income thereof as it accrues, in any bonds of Maine, of any other New England state or in the bonds of the United States.  When the bonds fall due and are paid, the proceeds from the bonds must be reinvested in like manner.</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with the approval of the Governor and the Superintendent of Financial Institutions, has the power to enter into a contract or agreement with any national bank, trust company or safe deposit company located in New England or New York City for custodial care and the servicing of the negotiable securities belonging to any sinking fund of the State.  The services consist of the safekeeping of the negotiable securities in the vaults of the bank or safe deposit company, preparation of coupons for collection, the actual collection of the coupons, periodical checks of the portfolio deposited for safekeeping to determine all calls for redemption, in whole or in part, of any bonds owned by the funds, and any other fiscal service that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2001, c. 667, Pt. A, §2 (AMD).]</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sinking funds, or by an agreement for a compensating deposit balance with the bank in question, in lieu of such cash payment, or by some combination of both methods of payment. The contracting bank shall give assurance of proper internal safeguards which are usual to such contracts, and shall furnish insurance protection satisfactory to both parties.</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Governor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§13 (AMD); PL 2001, c. 44, §11 (AMD); PL 2001, c. 44, §14 (AFF).]</w:t>
      </w:r>
    </w:p>
    <w:p>
      <w:pPr>
        <w:jc w:val="both"/>
        <w:spacing w:before="100" w:after="100"/>
        <w:ind w:start="360"/>
        <w:ind w:firstLine="360"/>
      </w:pPr>
      <w:r>
        <w:rPr/>
      </w:r>
      <w:r>
        <w:rPr/>
      </w:r>
      <w:r>
        <w:t xml:space="preserve">All contracts and agreements entered into between the Treasurer of State and custodian banks and safe deposit companies selected for the safekeeping or custodial care of the negotiable securities referred to in this section shall have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§§11,14 (AMD). PL 1975, c. 771, §44 (AMD). PL 1985, c. 785, §A14 (AMD). PL 1991, c. 780, §Y13 (AMD). PL 2001, c. 667,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 investment of sinking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 investment of sinking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§142. -- INVESTMENT OF SINKING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