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Records; collections</w:t>
      </w:r>
    </w:p>
    <w:p>
      <w:pPr>
        <w:jc w:val="both"/>
        <w:spacing w:before="100" w:after="100"/>
        <w:ind w:start="360"/>
        <w:ind w:firstLine="360"/>
      </w:pPr>
      <w:r>
        <w:rPr/>
      </w:r>
      <w:r>
        <w:rPr/>
      </w:r>
      <w:r>
        <w:t xml:space="preserve">It shall be the duty of each department, institution or agency of the State to keep a record of all items of income accruing to it. Each department, institution or agency shall be solely responsible for collections of all accounts receivable accruing to it, including taxes levied by the State. In each instance of an item of income accruing to any department, institution or agency, such department, institution or agency shall immediately begin collection efforts and shall make such repeated collection efforts as may be necessary to promptly satisfy the amount owed to the State. Whenever there shall continue to exist items of income or taxes owed to the State which are not paid within 90 days, it shall be the duty of the department, institution or agency to whom such amount is owed to again attempt promptly to collect same. In cases of failure to pay, the department, institution or agency shall refer the account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[PL 1973,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§1509. Records;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Records;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§1509. RECORDS;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