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Income from temporary investment of bonds</w:t>
      </w:r>
    </w:p>
    <w:p>
      <w:pPr>
        <w:jc w:val="both"/>
        <w:spacing w:before="100" w:after="100"/>
        <w:ind w:start="360"/>
        <w:ind w:firstLine="360"/>
      </w:pPr>
      <w:r>
        <w:rPr/>
      </w:r>
      <w:r>
        <w:rPr/>
      </w:r>
      <w:r>
        <w:t xml:space="preserve">All net income realized from the temporary investment of bond proceeds on general fund bond issues approved by the 103rd Legislature and future Legislatures shall be credited to a special account designated as Debt Service Account, and used only for the retirement of bonds and notes.</w:t>
      </w:r>
      <w:r>
        <w:t xml:space="preserve">  </w:t>
      </w:r>
      <w:r xmlns:wp="http://schemas.openxmlformats.org/drawingml/2010/wordprocessingDrawing" xmlns:w15="http://schemas.microsoft.com/office/word/2012/wordml">
        <w:rPr>
          <w:rFonts w:ascii="Arial" w:hAnsi="Arial" w:cs="Arial"/>
          <w:sz w:val="22"/>
          <w:szCs w:val="22"/>
        </w:rPr>
        <w:t xml:space="preserve">[PL 1971, c. 544,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§E (NEW). PL 1967, c. 544, §8 (RPR). PL 1971, c. 544,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§151-A. Income from temporary investment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Income from temporary investment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§151-A. INCOME FROM TEMPORARY INVESTMENT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