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Maine Military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§1523. MAINE MILITARY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