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15309</w:t>
        <w:t xml:space="preserve">.  </w:t>
      </w:r>
      <w:r>
        <w:rPr>
          <w:b/>
        </w:rPr>
        <w:t xml:space="preserve">Liberal construction</w:t>
      </w:r>
    </w:p>
    <w:p>
      <w:pPr>
        <w:jc w:val="both"/>
        <w:spacing w:before="100" w:after="100"/>
        <w:ind w:start="360"/>
        <w:ind w:firstLine="360"/>
      </w:pPr>
      <w:r>
        <w:rPr/>
      </w:r>
      <w:r>
        <w:rPr/>
      </w:r>
      <w:r>
        <w:t xml:space="preserve">This chapter must be construed liberally to effect the interest and purposes of the institute for an improved science and technology capacity-building effort in the State and must be broadly interpreted to effect that intent and those purposes.</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§AAA3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§15309.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§15309.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§15309.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