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 for the state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PL 2023, c. 643,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§1535. GENERAL FUND TRANSFERS TO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