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Authorization to establish program; payments for MaineCare benefits prohibited</w:t>
      </w:r>
    </w:p>
    <w:p>
      <w:pPr>
        <w:jc w:val="both"/>
        <w:spacing w:before="100" w:after="100"/>
        <w:ind w:start="360"/>
        <w:ind w:firstLine="360"/>
      </w:pPr>
      <w:r>
        <w:rPr/>
      </w:r>
      <w:r>
        <w:rPr/>
      </w:r>
      <w:r>
        <w:t xml:space="preserve">The Treasurer of State is authorized to establish in this State the ABLE ME Savings Program, referred to in this section as "the program," to allow an individual with a disability to establish a federal tax-advantaged savings account and use the funds in that account to pay for the individual's care.  The program must comply with the requirements of the federal Achieving a Better Life Experience Act of 2014, Public Law 113-295.</w:t>
      </w:r>
      <w:r>
        <w:t xml:space="preserve">  </w:t>
      </w:r>
      <w:r xmlns:wp="http://schemas.openxmlformats.org/drawingml/2010/wordprocessingDrawing" xmlns:w15="http://schemas.microsoft.com/office/word/2012/wordml">
        <w:rPr>
          <w:rFonts w:ascii="Arial" w:hAnsi="Arial" w:cs="Arial"/>
          <w:sz w:val="22"/>
          <w:szCs w:val="22"/>
        </w:rPr>
        <w:t xml:space="preserve">[PL 2017, c. 394, §1 (NEW).]</w:t>
      </w:r>
    </w:p>
    <w:p>
      <w:pPr>
        <w:jc w:val="both"/>
        <w:spacing w:before="100" w:after="100"/>
        <w:ind w:start="360"/>
        <w:ind w:firstLine="360"/>
      </w:pPr>
      <w:r>
        <w:rPr/>
      </w:r>
      <w:r>
        <w:rPr/>
      </w:r>
      <w:r>
        <w:t xml:space="preserve">Unless otherwise required by the United States Social Security Act, 42 United States Code, Section 1396p(b), the State, or any agency or instrumentality of the State, may not seek payment for MaineCare benefits provided to a designated beneficiary from an account, or its proceeds, that is established under a qualified ABLE program that complies with the requirements of the federal Achieving a Better Life Experience Act of 2014, Public Law 113-295.</w:t>
      </w:r>
      <w:r>
        <w:t xml:space="preserve">  </w:t>
      </w:r>
      <w:r xmlns:wp="http://schemas.openxmlformats.org/drawingml/2010/wordprocessingDrawing" xmlns:w15="http://schemas.microsoft.com/office/word/2012/wordml">
        <w:rPr>
          <w:rFonts w:ascii="Arial" w:hAnsi="Arial" w:cs="Arial"/>
          <w:sz w:val="22"/>
          <w:szCs w:val="22"/>
        </w:rPr>
        <w:t xml:space="preserve">[PL 2019, c. 348, §1 (NEW).]</w:t>
      </w:r>
    </w:p>
    <w:p>
      <w:pPr>
        <w:jc w:val="both"/>
        <w:spacing w:before="100" w:after="100"/>
        <w:ind w:start="360"/>
        <w:ind w:firstLine="360"/>
      </w:pPr>
      <w:r>
        <w:rPr/>
      </w:r>
      <w:r>
        <w:rPr/>
      </w:r>
      <w:r>
        <w:t xml:space="preserve">Funds held in an account established under a qualified ABLE program that complies with the requirements of the federal Achieving a Better Life Experience Act of 2014, Public Law 113‑295 or distributed for the purposes of paying qualified expenses must be disregarded when determining the designated beneficiary's eligibility for any means‑tested public assistance program.</w:t>
      </w:r>
      <w:r>
        <w:t xml:space="preserve">  </w:t>
      </w:r>
      <w:r xmlns:wp="http://schemas.openxmlformats.org/drawingml/2010/wordprocessingDrawing" xmlns:w15="http://schemas.microsoft.com/office/word/2012/wordml">
        <w:rPr>
          <w:rFonts w:ascii="Arial" w:hAnsi="Arial" w:cs="Arial"/>
          <w:sz w:val="22"/>
          <w:szCs w:val="22"/>
        </w:rPr>
        <w:t xml:space="preserve">[PL 2019, c. 348, §1 (NEW).]</w:t>
      </w:r>
    </w:p>
    <w:p>
      <w:pPr>
        <w:jc w:val="both"/>
        <w:spacing w:before="100" w:after="100"/>
        <w:ind w:start="360"/>
        <w:ind w:firstLine="360"/>
      </w:pPr>
      <w:r>
        <w:rPr/>
      </w:r>
      <w:r>
        <w:rPr/>
      </w:r>
      <w:r>
        <w:t xml:space="preserve">The Treasurer of State may adopt routine technical rules pursuant to </w:t>
      </w:r>
      <w:r>
        <w:t>chapter 375, subchapter 2‑A</w:t>
      </w:r>
      <w:r>
        <w:t xml:space="preserve"> to implement the provisions of this section, including all terms and conditions of the program.</w:t>
      </w:r>
      <w:r>
        <w:t xml:space="preserve">  </w:t>
      </w:r>
      <w:r xmlns:wp="http://schemas.openxmlformats.org/drawingml/2010/wordprocessingDrawing" xmlns:w15="http://schemas.microsoft.com/office/word/2012/wordml">
        <w:rPr>
          <w:rFonts w:ascii="Arial" w:hAnsi="Arial" w:cs="Arial"/>
          <w:sz w:val="22"/>
          <w:szCs w:val="22"/>
        </w:rPr>
        <w:t xml:space="preserve">[PL 2017, c. 394,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394, §1 (NEW). PL 2019, c. 348,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 Authorization to establish program; payments for MaineCare benefits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Authorization to establish program; payments for MaineCare benefits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§156. AUTHORIZATION TO ESTABLISH PROGRAM; PAYMENTS FOR MAINECARE BENEFITS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