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17254</w:t>
        <w:t xml:space="preserve">.  </w:t>
      </w:r>
      <w:r>
        <w:rPr>
          <w:b/>
        </w:rPr>
        <w:t xml:space="preserve">Minimum state contribution</w:t>
      </w:r>
    </w:p>
    <w:p>
      <w:pPr>
        <w:jc w:val="both"/>
        <w:spacing w:before="100" w:after="100"/>
        <w:ind w:start="360"/>
        <w:ind w:firstLine="360"/>
      </w:pPr>
      <w:r>
        <w:rPr/>
      </w:r>
      <w:r>
        <w:rPr/>
      </w:r>
      <w:r>
        <w:t xml:space="preserve">The aggregate payment by the State into the Retirement Allowance Fund for state employees and teachers must be at least sufficient, when combined with the amount in the Retirement Allowance Fund, to provide the benefits payable out of the fund and the administrative operating expenses of the Maine Public Employees Retirement System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U,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2007, c. 240, Pt. U,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§17254. Minimum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§17254. Minimum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§17254. MINIMUM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