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No facility leased without life-cycle costs</w:t>
      </w:r>
    </w:p>
    <w:p>
      <w:pPr>
        <w:jc w:val="both"/>
        <w:spacing w:before="100" w:after="100"/>
        <w:ind w:start="360"/>
        <w:ind w:firstLine="360"/>
      </w:pPr>
      <w:r>
        <w:rPr/>
      </w:r>
      <w:r>
        <w:rPr/>
      </w:r>
      <w:r>
        <w:t xml:space="preserve">No public improvement, as defined in this chapter, or public school facility, with an area in excess of 10,000 square feet within a given building boundary, may be leased until a life-cycle costs analysis has been performed and a lease may only be approved when the life-cycle costs analysis compare favorably to available like facilities.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w:pPr>
        <w:jc w:val="both"/>
        <w:spacing w:before="100" w:after="100"/>
        <w:ind w:start="360"/>
        <w:ind w:firstLine="360"/>
      </w:pPr>
      <w:r>
        <w:rPr/>
      </w:r>
      <w:r>
        <w:rPr/>
      </w:r>
      <w:r>
        <w:t xml:space="preserve">In the event of an emergency such as a building destroyed by fire, this requirement may be waived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1997,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1997, c. 541,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§1763. No facility leased without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No facility leased without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§1763. NO FACILITY LEASED WITHOUT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