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§§17,48 (AMD). PL 1989, c. 710, §4 (AMD). PL 1995, c. 180, §2 (AMD). PL 2007, c. 491, §109 (AMD). PL 2009, c. 474,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