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17708-A</w:t>
        <w:t xml:space="preserve">.  </w:t>
      </w:r>
      <w:r>
        <w:rPr>
          <w:b/>
        </w:rPr>
        <w:t xml:space="preserve">State Police; members hired after July 1, 1992</w:t>
      </w:r>
    </w:p>
    <w:p>
      <w:pPr>
        <w:jc w:val="both"/>
        <w:spacing w:before="100" w:after="100"/>
        <w:ind w:start="360"/>
        <w:ind w:firstLine="360"/>
      </w:pPr>
      <w:r>
        <w:rPr/>
      </w:r>
      <w:r>
        <w:rPr/>
      </w:r>
      <w:r>
        <w:t xml:space="preserve">Notwithstanding </w:t>
      </w:r>
      <w:r>
        <w:t>section 17708</w:t>
      </w:r>
      <w:r>
        <w:t xml:space="preserve">, a state police officer hired after July 1, 1992 shall contribute to the State Employee and Teacher Retirement Program at a rate of 1% of earnable compensation in addition to the contribution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§HHH4 (NEW). PL 1991, c. 780, §HHH11 (AFF). PL 2007, c. 491,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§17708-A. State Police;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§17708-A. State Police;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§17708-A. STATE POLICE;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