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w:t>
        <w:t xml:space="preserve">.  </w:t>
      </w:r>
      <w:r>
        <w:rPr>
          <w:b/>
        </w:rPr>
        <w:t xml:space="preserve">Inland Fisheries and Wildlife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Inland Fisheries and Wildlife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law enforcement officer in the Department of Inland Fisheries and Wildlife who was first employed in that capacity after August 31, 1984 and who elects the retirement option provided in </w:t>
      </w:r>
      <w:r>
        <w:t>section 17851, subsection 5‑A</w:t>
      </w:r>
      <w:r>
        <w:t xml:space="preserve"> shall contribute to the State Employee and Teacher Retirement Program or have pick-up contributions made by the employer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3</w:t>
        <w:t xml:space="preserve">.  </w:t>
      </w:r>
      <w:r>
        <w:rPr>
          <w:b/>
        </w:rPr>
        <w:t xml:space="preserve">After August 31, 1984.</w:t>
        <w:t xml:space="preserve"> </w:t>
      </w:r>
      <w:r>
        <w:t xml:space="preserve"> </w:t>
      </w:r>
      <w:r>
        <w:t xml:space="preserve">Beginning September 1, 2002, a law enforcement officer in the Department of Inland Fisheries and Wildlife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§§21,48 (AMD). PL 1995, c. 466, §A1 (RPR). PL 2001, c. 559, §RR1 (AMD). PL 2001, c. 559, §RR17 (AFF). PL 2007, c. 491,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§17709. Inland Fisheries and Wildlife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 Inland Fisheries and Wildlife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 INLAND FISHERIES AND WILDLIFE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