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17714</w:t>
        <w:t xml:space="preserve">.  </w:t>
      </w:r>
      <w:r>
        <w:rPr>
          <w:b/>
        </w:rPr>
        <w:t xml:space="preserve">Baxter State Park Authority rangers</w:t>
      </w:r>
    </w:p>
    <w:p>
      <w:pPr>
        <w:jc w:val="both"/>
        <w:spacing w:before="100" w:after="100"/>
        <w:ind w:start="360"/>
        <w:ind w:firstLine="360"/>
      </w:pPr>
      <w:r>
        <w:rPr/>
      </w:r>
      <w:r>
        <w:rPr/>
      </w:r>
      <w:r>
        <w:t xml:space="preserve">A law enforcement officer in the employment of the Baxter State Park Authority who elects the retirement option provided in </w:t>
      </w:r>
      <w:r>
        <w:t>section 17851, subsection 12</w:t>
      </w:r>
      <w:r>
        <w:t xml:space="preserve"> shall contribute to the State Employee and Teacher Retirement Program or have pick-up contributions made by the employer as provided in </w:t>
      </w:r>
      <w:r>
        <w:t>section 17852,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466, §C1 (NEW). PL 2007, c. 491, §133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§17714. Baxter State Park Authority rangers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§17714. Baxter State Park Authority rangers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§17714. BAXTER STATE PARK AUTHORITY RANGERS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