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17851-B</w:t>
        <w:t xml:space="preserve">.  </w:t>
      </w:r>
      <w:r>
        <w:rPr>
          <w:b/>
        </w:rPr>
        <w:t xml:space="preserve">Special plan for fire marshal investigators and fire marshal sergeants</w:t>
      </w:r>
    </w:p>
    <w:p>
      <w:pPr>
        <w:jc w:val="both"/>
        <w:spacing w:before="100" w:after="0"/>
        <w:ind w:start="360"/>
        <w:ind w:firstLine="360"/>
      </w:pPr>
      <w:r>
        <w:rPr>
          <w:b/>
        </w:rPr>
        <w:t>1</w:t>
        <w:t xml:space="preserve">.  </w:t>
      </w:r>
      <w:r>
        <w:rPr>
          <w:b/>
        </w:rPr>
        <w:t xml:space="preserve">Establishment and applicability.</w:t>
        <w:t xml:space="preserve"> </w:t>
      </w:r>
      <w:r>
        <w:t xml:space="preserve"> </w:t>
      </w:r>
      <w:r>
        <w:t xml:space="preserve">Effective July 1, 2020, there is established a special retirement plan for fire marshal investigators, fire marshal senior investigators, fire marshal sergeants and assistant state fire marshal-investigations, referred to in this section as "the special plan."  The special plan applies to a state fire marshal investigator, state fire marshal senior investigator, state fire marshal sergeant and assistant state fire marshal-investigations.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LLL, §2 (AMD).]</w:t>
      </w:r>
    </w:p>
    <w:p>
      <w:pPr>
        <w:jc w:val="both"/>
        <w:spacing w:before="100" w:after="0"/>
        <w:ind w:start="360"/>
        <w:ind w:firstLine="360"/>
      </w:pPr>
      <w:r>
        <w:rPr>
          <w:b/>
        </w:rPr>
        <w:t>2</w:t>
        <w:t xml:space="preserve">.  </w:t>
      </w:r>
      <w:r>
        <w:rPr>
          <w:b/>
        </w:rPr>
        <w:t xml:space="preserve">Qualification for benefits.</w:t>
        <w:t xml:space="preserve"> </w:t>
      </w:r>
      <w:r>
        <w:t xml:space="preserve"> </w:t>
      </w:r>
      <w:r>
        <w:t xml:space="preserve">A member employed in any of the positions specified in </w:t>
      </w:r>
      <w:r>
        <w:t>subsection 1</w:t>
      </w:r>
      <w:r>
        <w:t xml:space="preserve"> qualifies for a service retirement benefit after completing 20 years of creditable service in that capacity, whether or not the creditable service included in determining that the 20-year requirement has been met was earned under the special plan established in this section or prior to its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 under this section.  For the purpose of meeting the qualification requirement of </w:t>
      </w:r>
      <w:r>
        <w:t>subsection 2</w:t>
      </w:r>
      <w:r>
        <w:t xml:space="preserve">:</w:t>
      </w:r>
    </w:p>
    <w:p>
      <w:pPr>
        <w:jc w:val="both"/>
        <w:spacing w:before="100" w:after="0"/>
        <w:ind w:start="720"/>
      </w:pPr>
      <w:r>
        <w:rPr/>
        <w:t>A</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positions specified in </w:t>
      </w:r>
      <w:r>
        <w:t>subsection 1</w:t>
      </w:r>
      <w:r>
        <w:t xml:space="preserve">, regardless of whether the time was served before or after the establishment of the special plan; and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w:pPr>
        <w:jc w:val="both"/>
        <w:spacing w:before="100" w:after="0"/>
        <w:ind w:start="720"/>
      </w:pPr>
      <w:r>
        <w:rPr/>
        <w:t>B</w:t>
        <w:t xml:space="preserve">.  </w:t>
      </w:r>
      <w:r>
        <w:rPr/>
      </w:r>
      <w:r>
        <w:t xml:space="preserve">Service credit purchased other than as provided under </w:t>
      </w:r>
      <w:r>
        <w:t>paragraph A</w:t>
      </w:r>
      <w:r>
        <w:t xml:space="preserve"> is not included.</w:t>
      </w:r>
      <w:r>
        <w:t xml:space="preserve">  </w:t>
      </w:r>
      <w:r xmlns:wp="http://schemas.openxmlformats.org/drawingml/2010/wordprocessingDrawing" xmlns:w15="http://schemas.microsoft.com/office/word/2012/wordml">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is 1/2 of the person's average final compensation and an additional 2% of the person's average final compensation for each year of membership service not included in determining qualification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2020, a member in a position specified in </w:t>
      </w:r>
      <w:r>
        <w:t>subsection 1</w:t>
      </w:r>
      <w:r>
        <w:t xml:space="preserve"> shall contribute to the State Employee and Teacher Retirement Program or have pick-up contributions made at the rate of 8.65% of earnable compensation until the member has completed 20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482, §2 (NEW). PL 2021, c. 398, Pt. LLL,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§17851-B. Special plan for fire marshal investigators and fire marshal sergeants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§17851-B. Special plan for fire marshal investigators and fire marshal sergeants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§17851-B. SPECIAL PLAN FOR FIRE MARSHAL INVESTIGATORS AND FIRE MARSHAL SERGEANTS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