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§6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D</w:t>
        <w:t xml:space="preserve">.  </w:t>
      </w:r>
      <w:r>
        <w:rPr/>
      </w:r>
      <w:r>
        <w:t xml:space="preserve">The employee may designate in writing the name and address of a 3rd party to whom notice must be provided as required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§11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§12 (NEW).]</w:t>
      </w:r>
    </w:p>
    <w:p>
      <w:pPr>
        <w:jc w:val="both"/>
        <w:spacing w:before="100" w:after="0"/>
        <w:ind w:start="360"/>
        <w:ind w:firstLine="360"/>
      </w:pPr>
      <w:r>
        <w:rPr>
          <w:b/>
        </w:rPr>
        <w:t>6</w:t>
        <w:t xml:space="preserve">.  </w:t>
      </w:r>
      <w:r>
        <w:rPr>
          <w:b/>
        </w:rPr>
        <w:t xml:space="preserve">Notice to employee and 3rd party prior to lapse or termination.</w:t>
        <w:t xml:space="preserve"> </w:t>
      </w:r>
      <w:r>
        <w:t xml:space="preserve"> </w:t>
      </w:r>
      <w:r>
        <w:t xml:space="preserve">Coverage for an employee may not be terminated for nonpayment of premium unless, at least 14 days prior to the lapse or termination of coverage, the board has mailed a notice of cancellation to the employee and any 3rd party designated by the employee by name and address in writing pursuant to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§6 (AMD). PL 1993, c. 386, §3 (AMD). PL 2007, c. 17, §1 (AMD). PL 2007, c. 17, §3 (AFF). PL 2009, c. 236, §§1, 2 (AMD). PL 2009, c. 474, §§ 24, 25 (AMD). PL 2011, c. 449, §§10-12 (AMD). PL 2015, c. 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§18058. Insurance; automatic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§18058. Insurance; automatic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§18058. INSURANCE; AUTOMATIC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