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Chief Procurement Officer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§29 (AMD).]</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Chief Procurement Officer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officer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2023, c. 516, Pt. B, §30 (AMD).]</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§30 (AMD).]</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Chief Procurement Officer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PL 2023, c. 516, Pt. B, §§29-31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§1825-K. APPLICATION OF STATE PURCHASING CODE OF CONDUCT TO CERTAIN BIDDERS SEEKING CONTRACTS AS PART OF COMPETITIVE BID PROCESS; AFFIDAVIT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