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§159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this Part, the United States Social Security Act or other local retirement program,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participant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a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§6 (AMD).]</w:t>
      </w:r>
    </w:p>
    <w:p>
      <w:pPr>
        <w:jc w:val="both"/>
        <w:spacing w:before="100" w:after="0"/>
        <w:ind w:start="720"/>
      </w:pPr>
      <w:r>
        <w:rPr/>
        <w:t>B</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 A</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§12 (AMD).]</w:t>
      </w:r>
    </w:p>
    <w:p>
      <w:pPr>
        <w:jc w:val="both"/>
        <w:spacing w:before="100" w:after="0"/>
        <w:ind w:start="720"/>
      </w:pPr>
      <w:r>
        <w:rPr/>
        <w:t>C</w:t>
        <w:t xml:space="preserve">.  </w:t>
      </w:r>
      <w:r>
        <w:rPr/>
      </w:r>
      <w:r>
        <w:t xml:space="preserve">The premiums for the coverage provided by this subsection must be paid by the participating local district which employed the participant immediately before the participant's retirement.  Delinquent payments under this section may be collected as provided under </w:t>
      </w:r>
      <w:r>
        <w:t>section 18303,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480,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§24 (AMD). PL 1991, c. 480, §12 (AMD). PL 1993, c. 386, §6 (AMD). RR 2023, c. 2, Pt. B, §159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§18661.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§18661.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§18661.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