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19006</w:t>
        <w:t xml:space="preserve">.  </w:t>
      </w:r>
      <w:r>
        <w:rPr>
          <w:b/>
        </w:rPr>
        <w:t xml:space="preserve">Rules and regulations</w:t>
      </w:r>
    </w:p>
    <w:p>
      <w:pPr>
        <w:jc w:val="both"/>
        <w:spacing w:before="100" w:after="100"/>
        <w:ind w:start="360"/>
        <w:ind w:firstLine="360"/>
      </w:pPr>
      <w:r>
        <w:rPr/>
      </w:r>
      <w:r>
        <w:rPr/>
      </w:r>
      <w:r>
        <w:t xml:space="preserve">The state agency shall make and publish such rules and regulations, not inconsistent with this chapter, as it finds necessary or appropriate to the efficient administration of the functions with which it is charged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§19006.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