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19204-C</w:t>
        <w:t xml:space="preserve">.  </w:t>
      </w:r>
      <w:r>
        <w:rPr>
          <w:b/>
        </w:rPr>
        <w:t xml:space="preserve">Restrictions upon revealing HIV antibody test results</w:t>
      </w:r>
    </w:p>
    <w:p>
      <w:pPr>
        <w:jc w:val="both"/>
        <w:spacing w:before="100" w:after="100"/>
        <w:ind w:start="360"/>
        <w:ind w:firstLine="360"/>
      </w:pPr>
      <w:r>
        <w:rPr/>
      </w:r>
      <w:r>
        <w:rPr/>
      </w:r>
      <w:r>
        <w:t xml:space="preserve">An insurer, nonprofit hospital or medical services organization, nonprofit health care plan or health maintenance organization may not request any person to reveal whether the person has obtained a test for the presence of antibodies to HIV or a test to measure the virus or to reveal the results of such tests taken prior to an application for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404,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§1 (NEW). PL 1995, c. 404,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§19204-C. Restrictions upon revealing HIV antibody test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§19204-C. Restrictions upon revealing HIV antibody test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§19204-C. RESTRICTIONS UPON REVEALING HIV ANTIBODY TEST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