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194-C</w:t>
        <w:t xml:space="preserve">.  </w:t>
      </w:r>
      <w:r>
        <w:rPr>
          <w:b/>
        </w:rPr>
        <w:t xml:space="preserve">Notice and approval for conversion transaction</w:t>
      </w:r>
    </w:p>
    <w:p>
      <w:pPr>
        <w:jc w:val="both"/>
        <w:spacing w:before="100" w:after="100"/>
        <w:ind w:start="360"/>
        <w:ind w:firstLine="360"/>
      </w:pPr>
      <w:r>
        <w:rPr>
          <w:b/>
        </w:rPr>
        <w:t>1</w:t>
        <w:t xml:space="preserve">.  </w:t>
      </w:r>
      <w:r>
        <w:rPr>
          <w:b/>
        </w:rPr>
        <w:t xml:space="preserve">Notice or approval required.</w:t>
        <w:t xml:space="preserve"> </w:t>
      </w:r>
      <w:r>
        <w:t xml:space="preserve"> </w:t>
      </w:r>
      <w:r>
        <w:t xml:space="preserve">Prior to completing a conversion transaction, a public charity must:</w:t>
      </w:r>
    </w:p>
    <w:p>
      <w:pPr>
        <w:jc w:val="both"/>
        <w:spacing w:before="100" w:after="0"/>
        <w:ind w:start="720"/>
      </w:pPr>
      <w:r>
        <w:rPr/>
        <w:t>A</w:t>
        <w:t xml:space="preserve">.  </w:t>
      </w:r>
      <w:r>
        <w:rPr/>
      </w:r>
      <w:r>
        <w:t xml:space="preserve">If the fair market value of assets to be converted in the transaction is $500,000 or more, obtain approval of the court in accordance with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fair market value of assets to be converted in the transaction is less than $500,000 but at least $50,000, obtain approval from the Attorney General in accordance with </w:t>
      </w:r>
      <w:r>
        <w:t>section 194‑E</w:t>
      </w:r>
      <w:r>
        <w:t xml:space="preserve"> or, if the Attorney General does not approve the transaction, obtain approval from the court in accordance with </w:t>
      </w:r>
      <w:r>
        <w:t>section 194‑F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value of the transaction is less than $50,000, provide notice to the Attorney General in accordance with </w:t>
      </w:r>
      <w:r>
        <w:t>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Appraisal required.</w:t>
        <w:t xml:space="preserve"> </w:t>
      </w:r>
      <w:r>
        <w:t xml:space="preserve"> </w:t>
      </w:r>
      <w:r>
        <w:t xml:space="preserve">Fair market value must be determined by an independent appraisal for conversion transactions with a fair market value of $50,000 or more. If the appraisal provides a range of values, the highest point of the range determines which section of law applies to the transaction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3</w:t>
        <w:t xml:space="preserve">.  </w:t>
      </w:r>
      <w:r>
        <w:rPr>
          <w:b/>
        </w:rPr>
        <w:t xml:space="preserve">Failure to comply with this section or sections 194-D to 194-H.</w:t>
        <w:t xml:space="preserve"> </w:t>
      </w:r>
      <w:r>
        <w:t xml:space="preserve"> </w:t>
      </w:r>
      <w:r>
        <w:t xml:space="preserve">A transaction consummated in violation of any provision of this section or </w:t>
      </w:r>
      <w:r>
        <w:t>sections 194‑D</w:t>
      </w:r>
      <w:r>
        <w:t xml:space="preserve"> to </w:t>
      </w:r>
      <w:r>
        <w:t>194‑H</w:t>
      </w:r>
      <w:r>
        <w:t xml:space="preserve"> is voidable.  Officers and directors who receive private inurement or excess benefits from such a transaction are subject to the civil penalties provided in </w:t>
      </w:r>
      <w:r>
        <w:t>section 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Applicability to nonprofit hospital or medical service organizations.</w:t>
        <w:t xml:space="preserve"> </w:t>
      </w:r>
      <w:r>
        <w:t xml:space="preserve"> </w:t>
      </w:r>
      <w:r>
        <w:t xml:space="preserve">This section, </w:t>
      </w:r>
      <w:r>
        <w:t>section 194‑B</w:t>
      </w:r>
      <w:r>
        <w:t xml:space="preserve"> and </w:t>
      </w:r>
      <w:r>
        <w:t>sections 194‑D</w:t>
      </w:r>
      <w:r>
        <w:t xml:space="preserve"> to </w:t>
      </w:r>
      <w:r>
        <w:t>194‑K</w:t>
      </w:r>
      <w:r>
        <w:t xml:space="preserve"> do not apply to a corporation or other entity licensed under </w:t>
      </w:r>
      <w:r>
        <w:t>Title 24, chapter 19</w:t>
      </w:r>
      <w:r>
        <w:t xml:space="preserve">.  A conversion of a corporation or other entity licensed under </w:t>
      </w:r>
      <w:r>
        <w:t>Title 24, chapter 19</w:t>
      </w:r>
      <w:r>
        <w:t xml:space="preserve"> is governed by </w:t>
      </w:r>
      <w:r>
        <w:t>section 194‑A</w:t>
      </w:r>
      <w:r>
        <w:t xml:space="preserve"> and </w:t>
      </w:r>
      <w:r>
        <w:t>Title 24, section 2301, subsection 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§194-C. Notice and approval for conversion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§194-C. Notice and approval for conversion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§194-C. NOTICE AND APPROVAL FOR CONVERSION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