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19502</w:t>
        <w:t xml:space="preserve">.  </w:t>
      </w:r>
      <w:r>
        <w:rPr>
          <w:b/>
        </w:rPr>
        <w:t xml:space="preserve">Designation</w:t>
      </w:r>
    </w:p>
    <w:p>
      <w:pPr>
        <w:jc w:val="both"/>
        <w:spacing w:before="100" w:after="100"/>
        <w:ind w:start="360"/>
        <w:ind w:firstLine="360"/>
      </w:pPr>
      <w:r>
        <w:rPr/>
      </w:r>
      <w:r>
        <w:rPr/>
      </w:r>
      <w:r>
        <w:t xml:space="preserve">The Governor shall designate an agency, independent of any state or private agency that provides treatment, services or habilitation to persons with disabilities, to serve as the protection and advocacy agency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2001, c. 357,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§19502.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§19502.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§19502.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