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Intergovernmental cooperation and assistance</w:t>
      </w:r>
    </w:p>
    <w:p>
      <w:pPr>
        <w:jc w:val="both"/>
        <w:spacing w:before="100" w:after="100"/>
        <w:ind w:start="360"/>
        <w:ind w:firstLine="360"/>
      </w:pPr>
      <w:r>
        <w:rPr/>
      </w:r>
      <w:r>
        <w:rPr/>
      </w:r>
      <w:r>
        <w:t xml:space="preserve">The commissioner may enter into agreements with the Federal Government, the University of Maine System, the Maine Community College System and other agencies and organizations that will promote the objectives of this chapter and accept funds from the Federal Government, municipal and county agencies or any individual or corporation to be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§1983.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§1983.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