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1986</w:t>
        <w:t xml:space="preserve">.  </w:t>
      </w:r>
      <w:r>
        <w:rPr>
          <w:b/>
        </w:rPr>
        <w:t xml:space="preserve">Criminal history record information for employees and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office shall perform fingerprint-based criminal history record checks for any person employed by the office, who may be offered employment by the office or who is employed by or may be offered employment by a contractor or subcontractor for the office to satisfy federal statutory and regulatory background investigation requirements, including but not limited to those established by the United States Internal Revenue Service's tax information security guidelines for federal, state and local agencies, and the Federal Bureau of Investigation, Criminal Justice Information Services Division's information security requirements for criminal history record information used for noncriminal justice purposes.</w:t>
      </w:r>
    </w:p>
    <w:p>
      <w:pPr>
        <w:jc w:val="both"/>
        <w:spacing w:before="100" w:after="0"/>
        <w:ind w:start="360"/>
      </w:pPr>
      <w:r>
        <w:rPr/>
      </w:r>
      <w:r>
        <w:rPr/>
      </w:r>
      <w:r>
        <w:t xml:space="preserve">The criminal history record checks must include fingerprinting and obtaining national criminal history record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or a person who is employed by a contractor or subcontractor for the office shall consent to having and have the person's fingerprints taken.  A person who may be offered employment by the office or by a contractor or subcontractor for the office shall consent to having and have the person's fingerprints taken prior to being employed by the office or by a contractor or subcontractor for the office.  The State Police shall take or cause to be taken the fingerprints of a person who has consented under this subsection and shall forward the fingerprints to the Department of Public Safety, State Bureau of Identification so that the bureau may conduct a state and national criminal history record check on the person.  The bureau shall forward the results obtained to the office.  The fee charged to the office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fingerprint-based criminal history record check under </w:t>
      </w:r>
      <w:r>
        <w:t>subsection 3</w:t>
      </w:r>
      <w:r>
        <w:t xml:space="preserve"> must be conducted at least once every 5 years as the office determines appropriate or as required under federal regulations.  The office may request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office for employment purposes only.  The information may be used only for making decisions regarding the suitability of a person described in this section for new or continued employment with the office.  The subject of any criminal history record check under this section may contest any negative decision made by the office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the criminal history record check pursuant to </w:t>
      </w:r>
      <w:r>
        <w:t>subsection 3</w:t>
      </w:r>
      <w:r>
        <w:t xml:space="preserve"> must be notified each time a criminal history record check is performed on the person.  A person subject to the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9</w:t>
        <w:t xml:space="preserve">.  </w:t>
      </w:r>
      <w:r>
        <w:rPr>
          <w:b/>
        </w:rPr>
        <w:t xml:space="preserve">Refusal to consent.</w:t>
        <w:t xml:space="preserve"> </w:t>
      </w:r>
      <w:r>
        <w:t xml:space="preserve"> </w:t>
      </w:r>
      <w:r>
        <w:t xml:space="preserve">The office may not employ or permit the employment by a contractor or subcontractor of a person who has refused to consent to the background investigation requirements under this section in a position for which such background investigations are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§1986. Criminal history record information for employees and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§1986. Criminal history record information for employees and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§1986. CRIMINAL HISTORY RECORD INFORMATION FOR EMPLOYEES AND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