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§200-C. State Fraud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§200-C. STATE FRAUD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