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that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w:pPr>
        <w:jc w:val="both"/>
        <w:spacing w:before="100" w:after="0"/>
        <w:ind w:start="720"/>
      </w:pPr>
      <w:r>
        <w:rPr/>
        <w:t>B</w:t>
        <w:t xml:space="preserve">.  </w:t>
      </w:r>
      <w:r>
        <w:rPr/>
      </w:r>
      <w:r>
        <w:t xml:space="preserve">"Victim" means a person who is or was the object of an alleged criminal act. For the purposes of this section, a person who is certified by the prosecutor to be a victim is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18 years of age;</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 criminal proceeding or investigation in which medical examination or treatment has been provided to a victim, upon written request of the Attorney General or any of the Attorney General's deputies or assistants whom the Attorney General designates in writing, or the district attorney or the district attorney's deputy or assistants whom the district attorney designates in writing, any individual, partnership, association, corporation, institution or governmental entity that has rendered the examination or treatment shall immediately provide the authorized person with all medical records pertaining to the medical examination or treatment that are requested by the authorized person.  If the authorized person knows of circumstances or factors that would require production of fewer than all medical records, the authorized person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that provides copies of medical records is entitled to be paid the reasonable costs of the provision of the copies as agreed upon by the person or entity that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may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may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in the performance of the authorized person's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5</w:t>
        <w:t xml:space="preserve">.  </w:t>
      </w:r>
      <w:r>
        <w:rPr>
          <w:b/>
        </w:rPr>
        <w:t xml:space="preserve">Civil contempt.</w:t>
        <w:t xml:space="preserve"> </w:t>
      </w:r>
      <w:r>
        <w:t xml:space="preserve"> </w:t>
      </w:r>
      <w:r>
        <w:t xml:space="preserve">A person who is required to produce medical records by this section and intentionally or knowingly fails to do so within 20 days of the service of the written request to produce the records may be subject to civil contempt for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An individual, partnership, association, corporation, institution or governmental entity or employee or agent of a governmental entity may not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RR 2023, c. 2, Pt. B,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§200-E. Medical records furnished to prosecutor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§200-E. MEDICAL RECORDS FURNISHED TO PROSECUTOR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