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20004-A</w:t>
        <w:t xml:space="preserve">.  </w:t>
      </w:r>
      <w:r>
        <w:rPr>
          <w:b/>
        </w:rPr>
        <w:t xml:space="preserve">Departments and agencies responsible for cooperation in implementation</w:t>
      </w:r>
    </w:p>
    <w:p>
      <w:pPr>
        <w:jc w:val="both"/>
        <w:spacing w:before="100" w:after="100"/>
        <w:ind w:start="360"/>
        <w:ind w:firstLine="360"/>
      </w:pPr>
      <w:r>
        <w:rPr/>
      </w:r>
      <w:r>
        <w:rPr/>
      </w:r>
      <w:r>
        <w:t xml:space="preserve">All departments and agencies in State Government are required to cooperate with the department in its implementation and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657, Pt. AA,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§LL6 (NEW). PL 2011, c. 657, Pt. AA,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§20004-A. Departments and agencies responsible for cooperation in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§20004-A. Departments and agencies responsible for cooperation in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§20004-A. DEPARTMENTS AND AGENCIES RESPONSIBLE FOR COOPERATION IN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