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25001</w:t>
        <w:t xml:space="preserve">.  </w:t>
      </w:r>
      <w:r>
        <w:rPr>
          <w:b/>
        </w:rPr>
        <w:t xml:space="preserve">Commission established</w:t>
      </w:r>
    </w:p>
    <w:p>
      <w:pPr>
        <w:jc w:val="both"/>
        <w:spacing w:before="100" w:after="100"/>
        <w:ind w:start="360"/>
        <w:ind w:firstLine="360"/>
      </w:pPr>
      <w:r>
        <w:rPr/>
      </w:r>
      <w:r>
        <w:rPr/>
      </w:r>
      <w:r>
        <w:t xml:space="preserve">The Permanent Commission on the Status of Racial, Indigenous and Tribal Populations, established by </w:t>
      </w:r>
      <w:r>
        <w:t>section 12004‑J, subsection 19</w:t>
      </w:r>
      <w:r>
        <w:t xml:space="preserve"> and referred to in this chapter as "the commission," is an independent commission.  The commission shall promote, implement and coordinate programs that create and improve opportunities and incorporate the goal of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