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36 months.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PL 2023, c. 643,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§3003-A. EDUCATOR INTERCHANGE PROGRAM; PERIOD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