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w:t>
      </w:r>
      <w:r>
        <w:t xml:space="preserve">  </w:t>
      </w:r>
      <w:r xmlns:wp="http://schemas.openxmlformats.org/drawingml/2010/wordprocessingDrawing" xmlns:w15="http://schemas.microsoft.com/office/word/2012/wordml">
        <w:rPr>
          <w:rFonts w:ascii="Arial" w:hAnsi="Arial" w:cs="Arial"/>
          <w:sz w:val="22"/>
          <w:szCs w:val="22"/>
        </w:rPr>
        <w:t xml:space="preserve">[PL 2023, c. 489,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§2 (RP).]</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§§1-3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§4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United States Internal Revenue Code of 1986, 26 United States Code, Section 511(a) is not covered by the exemptions set forth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2023, c. 489, §5 (AMD).]</w:t>
      </w:r>
    </w:p>
    <w:p>
      <w:pPr>
        <w:jc w:val="both"/>
        <w:spacing w:before="100" w:after="0"/>
        <w:ind w:start="720"/>
      </w:pPr>
      <w:r>
        <w:rPr/>
        <w:t>H</w:t>
        <w:t xml:space="preserve">.  </w:t>
      </w:r>
      <w:r>
        <w:rPr/>
      </w:r>
      <w:r>
        <w:t xml:space="preserve">Unlawful discrimination by public entities as described in </w:t>
      </w:r>
      <w:r>
        <w:t>section 4630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PL 2023, c. 489,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