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4576</w:t>
        <w:t xml:space="preserve">.  </w:t>
      </w:r>
      <w:r>
        <w:rPr>
          <w:b/>
        </w:rPr>
        <w:t xml:space="preserve">Gender equity in school administrative positions</w:t>
      </w:r>
    </w:p>
    <w:p>
      <w:pPr>
        <w:jc w:val="both"/>
        <w:spacing w:before="100" w:after="100"/>
        <w:ind w:start="360"/>
        <w:ind w:firstLine="360"/>
      </w:pPr>
      <w:r>
        <w:rPr/>
      </w:r>
      <w:r>
        <w:rPr/>
      </w:r>
      <w:r>
        <w:t xml:space="preserve">The commission shall promote gender equity in the hiring of public school administrators in cooperation with the Commissioner of Education and investigate all human rights complaints associated with the public school system.</w:t>
      </w:r>
      <w:r>
        <w:t xml:space="preserve">  </w:t>
      </w:r>
      <w:r xmlns:wp="http://schemas.openxmlformats.org/drawingml/2010/wordprocessingDrawing" xmlns:w15="http://schemas.microsoft.com/office/word/2012/wordml">
        <w:rPr>
          <w:rFonts w:ascii="Arial" w:hAnsi="Arial" w:cs="Arial"/>
          <w:sz w:val="22"/>
          <w:szCs w:val="22"/>
        </w:rPr>
        <w:t xml:space="preserve">[PL 1989, c. 889,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§4576. Gender equity in school administrative 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§4576. Gender equity in school administrative 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§4576. GENDER EQUITY IN SCHOOL ADMINISTRATIVE 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