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Right to freedom from discrimination in education</w:t>
      </w:r>
    </w:p>
    <w:p>
      <w:pPr>
        <w:jc w:val="both"/>
        <w:spacing w:before="100" w:after="100"/>
        <w:ind w:start="360"/>
        <w:ind w:firstLine="360"/>
      </w:pPr>
      <w:r>
        <w:rPr/>
      </w:r>
      <w:r>
        <w:rPr/>
      </w:r>
      <w:r>
        <w:t xml:space="preserve">The opportunity for an individual at an educational institution to participate in all educational, counseling and vocational guidance programs, all apprenticeship and on-the-job training programs and all extracurricular activities without discrimination because of sex, sexual orientation or gender identity, a physical or mental disability, ancestry, national origin, race, color or religion is recognized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1987, c. 478, §3 (AMD). PL 1989, c. 725, §1 (AMD). PL 1991, c. 99, §27 (AMD). PL 1991, c. 100, §1 (AMD). PL 1991, c. 824, §A4 (RPR). PL 2005, c. 10, §20 (AMD). PL 2021, c. 366,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§4601. Right to freedom from discrimination in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Right to freedom from discrimination in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§4601. RIGHT TO FREEDOM FROM DISCRIMINATION IN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