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4623</w:t>
        <w:t xml:space="preserve">.  </w:t>
      </w:r>
      <w:r>
        <w:rPr>
          <w:b/>
        </w:rPr>
        <w:t xml:space="preserve">Consolidation of cases</w:t>
      </w:r>
    </w:p>
    <w:p>
      <w:pPr>
        <w:jc w:val="both"/>
        <w:spacing w:before="100" w:after="100"/>
        <w:ind w:start="360"/>
        <w:ind w:firstLine="360"/>
      </w:pPr>
      <w:r>
        <w:rPr/>
      </w:r>
      <w:r>
        <w:rPr/>
      </w:r>
      <w:r>
        <w:t xml:space="preserve">If it appears during the pendence of such private action that the commission has commenced an action against the same defendant, based on the same facts, the court shall, except for good cause shown, order consolidation of the cases, on such terms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§4623. Consolidation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§4623. Consolidation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§4623. CONSOLIDATION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