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Profiling prohibited</w:t>
      </w:r>
    </w:p>
    <w:p>
      <w:pPr>
        <w:jc w:val="both"/>
        <w:spacing w:before="100" w:after="100"/>
        <w:ind w:start="360"/>
        <w:ind w:firstLine="360"/>
      </w:pPr>
      <w:r>
        <w:rPr/>
      </w:r>
      <w:r>
        <w:rPr/>
      </w:r>
      <w:r>
        <w:t xml:space="preserve">In enforcing the laws of this State, a law enforcement officer or law enforcement agency may not engage in profiling. Violations of this section are not enforceable under </w:t>
      </w:r>
      <w:r>
        <w:t>chapter 337‑B</w:t>
      </w:r>
      <w:r>
        <w:t xml:space="preserve"> but may form the basis of disciplinary proceedings by the Board of Trustees of the Maine Criminal Justice Academy to suspend or to revoke any certification issued by the board pursuant to </w:t>
      </w:r>
      <w:r>
        <w:t>Title 25, section 2806‑A, subsection 5, paragraph J</w:t>
      </w:r>
      <w:r>
        <w:t xml:space="preserve"> or to take other action the board determines to be appropriate pursuant to </w:t>
      </w:r>
      <w:r>
        <w:t>Title 25, section 2806‑A,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368,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§4755. Profiling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Profiling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§4755. PROFILING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