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Value of fringe benefits</w:t>
      </w:r>
    </w:p>
    <w:p>
      <w:pPr>
        <w:jc w:val="both"/>
        <w:spacing w:before="100" w:after="100"/>
        <w:ind w:start="360"/>
        <w:ind w:firstLine="360"/>
      </w:pPr>
      <w:r>
        <w:rPr/>
      </w:r>
      <w:r>
        <w:rPr/>
      </w:r>
      <w:r>
        <w:t xml:space="preserve">Every state agency, department, board, commission, institution, authority or public instrumentality shall include in every publication that states the salary of an employee or a position a statement of the dollar value of the fringe benefit package provided.  For purposes of this section, "fringe benefits" includes an employer's cost of an employee's health insurance, dental insurance and retirement but does not include the amount paid to cover any unfunded liability.</w:t>
      </w:r>
      <w:r>
        <w:t xml:space="preserve">  </w:t>
      </w:r>
      <w:r xmlns:wp="http://schemas.openxmlformats.org/drawingml/2010/wordprocessingDrawing" xmlns:w15="http://schemas.microsoft.com/office/word/2012/wordml">
        <w:rPr>
          <w:rFonts w:ascii="Arial" w:hAnsi="Arial" w:cs="Arial"/>
          <w:sz w:val="22"/>
          <w:szCs w:val="22"/>
        </w:rPr>
        <w:t xml:space="preserve">[PL 1995, c. 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Value of fringe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 VALUE OF FRINGE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