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6207-A</w:t>
        <w:t xml:space="preserve">.  </w:t>
      </w:r>
      <w:r>
        <w:rPr>
          <w:b/>
        </w:rPr>
        <w:t xml:space="preserve">Use of eminent domain</w:t>
      </w:r>
    </w:p>
    <w:p>
      <w:pPr>
        <w:jc w:val="both"/>
        <w:spacing w:before="100" w:after="100"/>
        <w:ind w:start="360"/>
        <w:ind w:firstLine="360"/>
      </w:pPr>
      <w:r>
        <w:rPr/>
      </w:r>
      <w:r>
        <w:rPr/>
      </w:r>
      <w:r>
        <w:t xml:space="preserve">The board may expend funds to acquire an interest in land obtained by the use of eminent domain only if the acquisition has been approved by the Legislature or is with the consent of the owner or owners of the land, as the identity and address of the owner or owners is shown on the tax maps or other tax records of the municipality in which the land is located.  If the land is located within the unorganized territory, for purposes of this section the identity of the owner or owners must be as shown on the tax maps or other tax records of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1995, c. 139,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§2 (NEW). PL 1989, c. 603, §2 (RPR). PL 1993, c. 728, §11 (AMD). PL 1995, c. 139,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§6207-A. Use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§6207-A. Use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§6207-A. USE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