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§25 (COR); RR 2023, c. 1,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§26 (COR); RR 2023, c. 1,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§27 (COR); RR 2023, c. 1,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§§25-27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§7061. CLASSIFICATION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