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Application forms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§792. APPLICATION FORMS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