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Opportunity to be heard</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The opportunity for hearing in an adjudicatory proceeding shall be afforded without undue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Rights.</w:t>
        <w:t xml:space="preserve"> </w:t>
      </w:r>
      <w:r>
        <w:t xml:space="preserve"> </w:t>
      </w:r>
      <w:r>
        <w:t xml:space="preserve">Unless limited by stipulation under </w:t>
      </w:r>
      <w:r>
        <w:t>section 9053, subsection 4</w:t>
      </w:r>
      <w:r>
        <w:t xml:space="preserve">, or by agency order pursuant to </w:t>
      </w:r>
      <w:r>
        <w:t>section 9054, subsections 2</w:t>
      </w:r>
      <w:r>
        <w:t xml:space="preserve"> or </w:t>
      </w:r>
      <w:r>
        <w:t>4</w:t>
      </w:r>
      <w:r>
        <w:t xml:space="preserve">, or unless otherwise limited by the agency to prevent repetition or unreasonable delay in proceedings, every party shall have the right to present evidence and arguments on all issues, and at any hearing to call and examine witnesses and to make oral cross-examination of any person present and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§9056.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