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w:t>
        <w:t xml:space="preserve">.  </w:t>
      </w:r>
      <w:r>
        <w:rPr>
          <w:b/>
        </w:rPr>
        <w:t xml:space="preserve">Maine Human Rights Commission</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Maine Human Rights Commission. Notwithstanding any other provisions of law, these positions and their successor positions shall be subject to this chapter:</w:t>
      </w:r>
    </w:p>
    <w:p>
      <w:pPr>
        <w:jc w:val="both"/>
        <w:spacing w:before="100" w:after="0"/>
        <w:ind w:start="720"/>
      </w:pPr>
      <w:r>
        <w:rPr/>
        <w:t>A</w:t>
        <w:t xml:space="preserve">.  </w:t>
      </w:r>
      <w:r>
        <w:rPr/>
      </w:r>
      <w:r>
        <w:t xml:space="preserve">Executive Director; and</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B</w:t>
        <w:t xml:space="preserve">.  </w:t>
      </w:r>
      <w:r>
        <w:rPr/>
      </w:r>
      <w:r>
        <w:t xml:space="preserve">Chief Compliance Officer.</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§941. Maine Human Rights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 Maine Human Rights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§941. MAINE HUMAN RIGHTS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