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657, Pt. V, §1 (NEW); PL 2013, c. 405, Pt. A, §17 (AFF).]</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w:pPr>
        <w:jc w:val="both"/>
        <w:spacing w:before="100" w:after="0"/>
        <w:ind w:start="360"/>
        <w:ind w:firstLine="360"/>
      </w:pPr>
      <w:r>
        <w:rPr>
          <w:b/>
        </w:rPr>
        <w:t>2-A</w:t>
        <w:t xml:space="preserve">.  </w:t>
      </w:r>
      <w:r>
        <w:rPr>
          <w:b/>
        </w:rPr>
        <w:t xml:space="preserve">Foodways.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§2 (RP).]</w:t>
      </w:r>
    </w:p>
    <w:p>
      <w:pPr>
        <w:jc w:val="both"/>
        <w:spacing w:before="100" w:after="0"/>
        <w:ind w:start="360"/>
        <w:ind w:firstLine="360"/>
      </w:pPr>
      <w:r>
        <w:rPr>
          <w:b/>
        </w:rPr>
        <w:t>2-B</w:t>
        <w:t xml:space="preserve">.  </w:t>
      </w:r>
      <w:r>
        <w:rPr>
          <w:b/>
        </w:rPr>
        <w:t xml:space="preserve">Local food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§3 (RP); PL 2017, c. 314, §7 (AFF).]</w:t>
      </w:r>
    </w:p>
    <w:p>
      <w:pPr>
        <w:jc w:val="both"/>
        <w:spacing w:before="100" w:after="0"/>
        <w:ind w:start="360"/>
        <w:ind w:firstLine="360"/>
      </w:pPr>
      <w:r>
        <w:rPr>
          <w:b/>
        </w:rPr>
        <w:t>3</w:t>
        <w:t xml:space="preserve">.  </w:t>
      </w:r>
      <w:r>
        <w:rPr>
          <w:b/>
        </w:rPr>
        <w:t xml:space="preserve">Seal.</w:t>
        <w:t xml:space="preserve"> </w:t>
      </w:r>
      <w:r>
        <w:t xml:space="preserve"> </w:t>
      </w:r>
      <w:r>
        <w:t xml:space="preserve">The department has an official seal, which must be judicially noticed.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2011, c. 657, Pt. V, §2 (AFF). PL 2013, c. 405, Pt. A, §7 (AMD). PL 2013, c. 405, Pt. A, §17 (AFF). PL 2017, c. 215, §1 (AMD). PL 2017, c. 314, §§2, 3 (AMD). PL 2017, c. 314,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7-A, §101.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