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Department</w:t>
      </w:r>
    </w:p>
    <w:p>
      <w:pPr>
        <w:jc w:val="both"/>
        <w:spacing w:before="100" w:after="0"/>
        <w:ind w:start="360"/>
        <w:ind w:firstLine="360"/>
      </w:pPr>
      <w:r>
        <w:rPr>
          <w:b/>
        </w:rPr>
        <w:t>1</w:t>
        <w:t xml:space="preserve">.  </w:t>
      </w:r>
      <w:r>
        <w:rPr>
          <w:b/>
        </w:rPr>
        <w:t xml:space="preserve">Establishment.</w:t>
        <w:t xml:space="preserve"> </w:t>
      </w:r>
      <w:r>
        <w:t xml:space="preserve"> </w:t>
      </w:r>
      <w:r>
        <w:t xml:space="preserve">The Department of Agriculture, Conservation and Forestry is established as a cabinet-level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w:pPr>
        <w:jc w:val="both"/>
        <w:spacing w:before="100" w:after="0"/>
        <w:ind w:start="360"/>
        <w:ind w:firstLine="360"/>
      </w:pPr>
      <w:r>
        <w:rPr>
          <w:b/>
        </w:rPr>
        <w:t>2</w:t>
        <w:t xml:space="preserve">.  </w:t>
      </w:r>
      <w:r>
        <w:rPr>
          <w:b/>
        </w:rPr>
        <w:t xml:space="preserve">Divisions.</w:t>
        <w:t xml:space="preserve"> </w:t>
      </w:r>
      <w:r>
        <w:t xml:space="preserve"> </w:t>
      </w:r>
      <w:r>
        <w:t xml:space="preserve">The department consists of the divisions necessary to carry out the work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2011, c. 657, Pt. V, §2 (AFF). PL 2013, c. 405, Pt. A,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7-A, §201.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