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EXTENSION WORK WITH STATE UNIVERSITY</w:t>
      </w:r>
    </w:p>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EXTENSION WORK WITH STATE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EXTENSION WORK WITH STATE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 EXTENSION WORK WITH STATE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