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747</w:t>
      </w:r>
    </w:p>
    <w:p>
      <w:pPr>
        <w:jc w:val="center"/>
        <w:ind w:start="360"/>
        <w:spacing w:before="300" w:after="300"/>
      </w:pPr>
      <w:r>
        <w:rPr>
          <w:b/>
        </w:rPr>
        <w:t xml:space="preserve">NUTRIENT MANAGEMENT ACT</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747. NUTRIENT MANAGEMENT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747. NUTRIENT MANAGEMENT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747. NUTRIENT MANAGEMENT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