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Violations</w:t>
      </w:r>
    </w:p>
    <w:p>
      <w:pPr>
        <w:jc w:val="both"/>
        <w:spacing w:before="100" w:after="100"/>
        <w:ind w:start="360"/>
        <w:ind w:firstLine="360"/>
      </w:pPr>
      <w:r>
        <w:rPr/>
      </w:r>
      <w:r>
        <w:rPr/>
      </w:r>
      <w:r>
        <w:t xml:space="preserve">Any person or entity who violates any of the provisions of this chapter or any rule adopted under </w:t>
      </w:r>
      <w:r>
        <w:t>section 1303</w:t>
      </w:r>
      <w:r>
        <w:t xml:space="preserve"> commits a civil violation for which a forfeiture not to exceed $100 per day for each violation may be adjudged, except that the total of the forfeitures may not exceed $25,000.</w:t>
      </w:r>
      <w:r>
        <w:t xml:space="preserve">  </w:t>
      </w:r>
      <w:r xmlns:wp="http://schemas.openxmlformats.org/drawingml/2010/wordprocessingDrawing" xmlns:w15="http://schemas.microsoft.com/office/word/2012/wordml">
        <w:rPr>
          <w:rFonts w:ascii="Arial" w:hAnsi="Arial" w:cs="Arial"/>
          <w:sz w:val="22"/>
          <w:szCs w:val="22"/>
        </w:rPr>
        <w:t xml:space="preserve">[PL 2001, c. 572,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 (AMD). PL 1967, c. 227, §3 (AMD). PL 1977, c. 696, §88 (RPR). PL 1979, c. 541, §A68 (AMD). PL 2001, c. 572,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§1308.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