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Transport tags</w:t>
      </w:r>
    </w:p>
    <w:p>
      <w:pPr>
        <w:jc w:val="both"/>
        <w:spacing w:before="100" w:after="100"/>
        <w:ind w:start="360"/>
        <w:ind w:firstLine="360"/>
      </w:pPr>
      <w:r>
        <w:rPr/>
      </w:r>
      <w:r>
        <w:rPr/>
      </w:r>
      <w:r>
        <w:t xml:space="preserve">The owner or operator of a commercial large game shooting area must provide a transport tag for each large game animal killed in that area.  A person transporting large game killed at a commercial large game shooting area must have a transport tag secured to the body of the animal that clearly identifies the name and location of the commercial large game shooting area, the species of the animal and the date of the death.</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§1343. Transport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Transport tags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§1343. TRANSPORT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