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License fees deposited in General Fund</w:t>
      </w:r>
    </w:p>
    <w:p>
      <w:pPr>
        <w:jc w:val="both"/>
        <w:spacing w:before="100" w:after="100"/>
        <w:ind w:start="360"/>
        <w:ind w:firstLine="360"/>
      </w:pPr>
      <w:r>
        <w:rPr/>
      </w:r>
      <w:r>
        <w:rPr/>
      </w:r>
      <w:r>
        <w:t xml:space="preserve">Notwithstanding </w:t>
      </w:r>
      <w:r>
        <w:t>section 1332, section 1333, subsection 3</w:t>
      </w:r>
      <w:r>
        <w:t xml:space="preserve"> and </w:t>
      </w:r>
      <w:r>
        <w:t>section 1342</w:t>
      </w:r>
      <w:r>
        <w:t xml:space="preserve">, subsections 3 and 4, the first $1,120 collected each year under those sections and under </w:t>
      </w:r>
      <w:r>
        <w:t>section 1342‑A</w:t>
      </w:r>
      <w:r>
        <w:t xml:space="preserve"> for license fees for domesticated cervid farms and commercial large game shooting areas and transport tag fees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249,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§11 (AMD). PL 2009, c. 249,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§1346. License fees deposited in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License fees deposited in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§1346. LICENSE FEES DEPOSITED IN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