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Educational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Educational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§160. EDUCATIONAL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