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Penalties</w:t>
      </w:r>
    </w:p>
    <w:p>
      <w:pPr>
        <w:jc w:val="both"/>
        <w:spacing w:before="100" w:after="100"/>
        <w:ind w:start="360"/>
        <w:ind w:firstLine="360"/>
      </w:pPr>
      <w:r>
        <w:rPr>
          <w:b/>
        </w:rPr>
        <w:t>1</w:t>
        <w:t xml:space="preserve">.  </w:t>
      </w:r>
      <w:r>
        <w:rPr>
          <w:b/>
        </w:rPr>
        <w:t xml:space="preserve">Violation.</w:t>
        <w:t xml:space="preserve"> </w:t>
      </w:r>
      <w:r>
        <w:t xml:space="preserve"> </w:t>
      </w:r>
      <w:r>
        <w:t xml:space="preserve">Except as provided in </w:t>
      </w:r>
      <w:r>
        <w:t>section 1707</w:t>
      </w:r>
      <w:r>
        <w:t xml:space="preserve"> or unless another specific penalty or forfeiture is provided, a person commits a civil violation if that person violates a provision of or a rule or regulation adopted pursuant to:</w:t>
      </w:r>
    </w:p>
    <w:p>
      <w:pPr>
        <w:jc w:val="both"/>
        <w:spacing w:before="100" w:after="0"/>
        <w:ind w:start="720"/>
      </w:pPr>
      <w:r>
        <w:rPr/>
        <w:t>A</w:t>
        <w:t xml:space="preserve">.  </w:t>
      </w:r>
      <w:r>
        <w:rPr/>
      </w:r>
      <w:r>
        <w:t xml:space="preserve">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B</w:t>
        <w:t xml:space="preserve">.  </w:t>
      </w:r>
      <w:r>
        <w:rPr/>
      </w:r>
      <w:r>
        <w:t>Chapter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C</w:t>
        <w:t xml:space="preserve">.  </w:t>
      </w:r>
      <w:r>
        <w:rPr/>
      </w:r>
      <w:r>
        <w:t>Chapter 303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D</w:t>
        <w:t xml:space="preserve">.  </w:t>
      </w:r>
      <w:r>
        <w:rPr/>
      </w:r>
      <w:r>
        <w:t>Chapter 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§16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more than $500 per day for each violation may be adjudged, except that the total of the fines may not exceed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§89 (RPR). PL 2001, c. 572, §21 (RPR). PL 2003, c. 452, §B16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§1706.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